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Hàng thừa kế là một trong những nội dung quan trọng trong thừa kế theo pháp luật. Việc xác định chính xác hàng thừa kế là căn cứ quan trọng để phân chia di sản thừa kế theo pháp luật. Luật Việt An sẽ trình bày cụ thể nội dung pháp lý về hàng thừa kế theo quy định của bộ luật dân sự 2015.</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Điều 651 bộ luật dân sự 2005 quy định có 3 hàng thừa kế, bao gồm:</w:t>
      </w:r>
    </w:p>
    <w:p w:rsidR="009508BD" w:rsidRPr="00A4668E" w:rsidRDefault="009508BD" w:rsidP="009508BD">
      <w:pPr>
        <w:numPr>
          <w:ilvl w:val="0"/>
          <w:numId w:val="1"/>
        </w:numPr>
        <w:spacing w:before="100" w:beforeAutospacing="1" w:after="100" w:afterAutospacing="1" w:line="240" w:lineRule="auto"/>
        <w:rPr>
          <w:rFonts w:eastAsia="Times New Roman" w:cs="Times New Roman"/>
          <w:szCs w:val="28"/>
        </w:rPr>
      </w:pPr>
      <w:r w:rsidRPr="00A4668E">
        <w:rPr>
          <w:rFonts w:eastAsia="Times New Roman" w:cs="Times New Roman"/>
          <w:i/>
          <w:iCs/>
          <w:szCs w:val="28"/>
        </w:rPr>
        <w:t>Hàng thừa kế thứ nhất gồm: vợ, chồng, cha đẻ, mẹ đ</w:t>
      </w:r>
      <w:bookmarkStart w:id="0" w:name="_GoBack"/>
      <w:bookmarkEnd w:id="0"/>
      <w:r w:rsidRPr="00A4668E">
        <w:rPr>
          <w:rFonts w:eastAsia="Times New Roman" w:cs="Times New Roman"/>
          <w:i/>
          <w:iCs/>
          <w:szCs w:val="28"/>
        </w:rPr>
        <w:t>ẻ, cha nuôi, mẹ nuôi, con đẻ, con nuôi của người chết;</w:t>
      </w:r>
    </w:p>
    <w:p w:rsidR="009508BD" w:rsidRPr="00A4668E" w:rsidRDefault="009508BD" w:rsidP="009508BD">
      <w:pPr>
        <w:numPr>
          <w:ilvl w:val="0"/>
          <w:numId w:val="1"/>
        </w:numPr>
        <w:spacing w:before="100" w:beforeAutospacing="1" w:after="100" w:afterAutospacing="1" w:line="240" w:lineRule="auto"/>
        <w:rPr>
          <w:rFonts w:eastAsia="Times New Roman" w:cs="Times New Roman"/>
          <w:szCs w:val="28"/>
        </w:rPr>
      </w:pPr>
      <w:r w:rsidRPr="00A4668E">
        <w:rPr>
          <w:rFonts w:eastAsia="Times New Roman" w:cs="Times New Roman"/>
          <w:i/>
          <w:iCs/>
          <w:szCs w:val="28"/>
        </w:rPr>
        <w:t>Hàng thừa kế thứ hai gồm: ông nội, bà nội, ông ngoại, bà ngoại, anh ruột, chị ruột, em ruột của người chết; cháu ruột của người chết mà người chết là ông nội, bà nội, ông ngoại, bà ngoại;</w:t>
      </w:r>
    </w:p>
    <w:p w:rsidR="009508BD" w:rsidRPr="00A4668E" w:rsidRDefault="009508BD" w:rsidP="009508BD">
      <w:pPr>
        <w:numPr>
          <w:ilvl w:val="0"/>
          <w:numId w:val="1"/>
        </w:numPr>
        <w:spacing w:before="100" w:beforeAutospacing="1" w:after="100" w:afterAutospacing="1" w:line="240" w:lineRule="auto"/>
        <w:rPr>
          <w:rFonts w:eastAsia="Times New Roman" w:cs="Times New Roman"/>
          <w:szCs w:val="28"/>
        </w:rPr>
      </w:pPr>
      <w:r w:rsidRPr="00A4668E">
        <w:rPr>
          <w:rFonts w:eastAsia="Times New Roman" w:cs="Times New Roman"/>
          <w:i/>
          <w:iCs/>
          <w:szCs w:val="28"/>
        </w:rPr>
        <w:t>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b/>
          <w:bCs/>
          <w:szCs w:val="28"/>
        </w:rPr>
        <w:t>Hàng thừa kế thứ nhất</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i/>
          <w:iCs/>
          <w:szCs w:val="28"/>
        </w:rPr>
        <w:t>Quan hệ thừa kế giữa vợ với chồng:</w:t>
      </w:r>
      <w:r w:rsidRPr="00A4668E">
        <w:rPr>
          <w:rFonts w:eastAsia="Times New Roman" w:cs="Times New Roman"/>
          <w:szCs w:val="28"/>
        </w:rPr>
        <w:t> </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Vợ, chồng sẽ được thừa kế ở hàng thừa kế thứ nhất của nhau nếu vào thời điểm một bên chết mà quan hệ hôn nhân về mặt pháp lý vẫn còn tồn tại. Đặc biệt cần lưu ý đối với các trường hợp cụ thể tại điều 655 bộ luật dân sự 2015, như sau: </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Trong trường hợp vợ, chồng đã chia tài sản chung trong thời kì hôn nhân mà sau đó một người chết thì người còn sống vẫn được hưởng thừa kế di sản. </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Trong trường hợp vợ, chồng xin ly hôn mà chưa được hoặc đã được Tòa án cho ly hôn bằng bản án hoặc quyết định chưa có hiệu lực pháp luật, nếu một người chết thì người còn sống vẫn được hưởng di sản thừa kế.</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Người đang là vợ hoặc chồng của một người tại thời điểm người đó chết thì dù sau đó đã kết hôn với người khác vẫn được thừa kế di sản.</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Tuy nhiên, cũng cần lưu ý đối với trường hợp một người có nhiều vợ, nhiều chồng trước ngày 13/1/1960 ở Miền Bắc, trước ngày 25/8/1977 ở Miền Nam, cán bộ Miền Nam tập kết ra Bắc (trong khoảng thời gian từ năm 1954 đến 1975) lấy vợ, lấy chồng khác và kết hôn sau không bị Tòa án hủy bằng bản án, quyết định có hiệu lực pháp luật. Trong trường hợp này vợ, chồng được hưởng thừa kế ở hàng thừa kế thứ nhất của tất cả những người chồng (vợ) và ngược lại.</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i/>
          <w:iCs/>
          <w:szCs w:val="28"/>
        </w:rPr>
        <w:lastRenderedPageBreak/>
        <w:t>Quan hệ thừa kế giữa cha mẹ đẻ với con đẻ và cha mẹ nuôi và con nuôi:</w:t>
      </w:r>
      <w:r w:rsidRPr="00A4668E">
        <w:rPr>
          <w:rFonts w:eastAsia="Times New Roman" w:cs="Times New Roman"/>
          <w:szCs w:val="28"/>
        </w:rPr>
        <w:t> </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Cha đẻ, mẹ đẻ của một người là người đã sinh ra người đó. Do vậy, cha mẹ của người con trong giá thú hoặc ngoài giá thú đều là người thừa kế ở hàng thứ nhất của con mình và ngược lại.</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Đối với quan hệ cha mẹ nuôi và con nuôi sẽ là hàng thừa kế thứ nhất của nhau nếu việc nhận nuôi được đăng ký theo quy định của pháp luật.</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b/>
          <w:bCs/>
          <w:i/>
          <w:iCs/>
          <w:szCs w:val="28"/>
        </w:rPr>
        <w:t>Hàng thừa kế thứ hai</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Để xác định hàng thừa kế thứ hai cần làm rõ các khái niệm ông nội, bà nội, ông ngoại, bà ngoại và anh chị em ruột.</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Cụ thể ông nội, bà nội là người đã sinh ra cha của một người; ông ngoại, bà ngoại là người đã sinh ra mẹ của người đó. Anh, chị, em ruột là những người có cùng ít nhất cha hoặc mẹ. Quan hệ này chỉ được xác định trên quan hệ huyết thống.</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b/>
          <w:bCs/>
          <w:i/>
          <w:iCs/>
          <w:szCs w:val="28"/>
        </w:rPr>
        <w:t>Hàng thừa kế thứ ba</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Cụ nội là người đã sinh ra ông nội hoặc bà nôi của một người. Tương tụ cụ ngoại là người đã sinh ra ông ngoại hoặc bà ngoại của người đó.</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Bác ruột, chú ruột, cậu ruột, cô ruột, dì ruột của một người là những anh, chị, em ruột của bố đẻ hoặc mẹ đẻ của người đó.</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Từ việc xác định rõ các khái niệm trên việc xác định hàng thừa kế sẽ trở lên rõ ràng, đơn giản.</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b/>
          <w:bCs/>
          <w:i/>
          <w:iCs/>
          <w:szCs w:val="28"/>
        </w:rPr>
        <w:t>Nguyên tắc và trình tự hưởng di sản đối với các hàng thừa kế.</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Những người thừa kế cùng hàng được hưởng phần di sản bằng nhau.</w:t>
      </w:r>
    </w:p>
    <w:p w:rsidR="009508BD" w:rsidRPr="00A4668E" w:rsidRDefault="009508BD" w:rsidP="009508BD">
      <w:pPr>
        <w:spacing w:before="100" w:beforeAutospacing="1" w:after="100" w:afterAutospacing="1" w:line="240" w:lineRule="auto"/>
        <w:rPr>
          <w:rFonts w:eastAsia="Times New Roman" w:cs="Times New Roman"/>
          <w:szCs w:val="28"/>
        </w:rPr>
      </w:pPr>
      <w:r w:rsidRPr="00A4668E">
        <w:rPr>
          <w:rFonts w:eastAsia="Times New Roman" w:cs="Times New Roman"/>
          <w:szCs w:val="28"/>
        </w:rPr>
        <w:t>Những người ở hàng thừa kế sau chỉ được hưởng thừa kế, nếu không còn ai ở hàng thừa kế trước do đã chết, không có quyền hưởng di sản, bị truất quyền hưởng di sản hoặc từ chối nhận di sản. Nếu không coa ai là người thừa kế ở hàng thừa kế thứ ba thì di sản sẽ thuộc về Nhà nước.</w:t>
      </w:r>
    </w:p>
    <w:p w:rsidR="00741754" w:rsidRPr="00A4668E" w:rsidRDefault="00741754" w:rsidP="00741754">
      <w:pPr>
        <w:spacing w:before="100" w:beforeAutospacing="1" w:after="100" w:afterAutospacing="1" w:line="240" w:lineRule="auto"/>
        <w:outlineLvl w:val="1"/>
        <w:rPr>
          <w:rFonts w:eastAsia="Times New Roman" w:cs="Times New Roman"/>
          <w:b/>
          <w:bCs/>
          <w:szCs w:val="28"/>
        </w:rPr>
      </w:pPr>
      <w:r w:rsidRPr="00A4668E">
        <w:rPr>
          <w:rFonts w:eastAsia="Times New Roman" w:cs="Times New Roman"/>
          <w:b/>
          <w:bCs/>
          <w:szCs w:val="28"/>
        </w:rPr>
        <w:t>1. Thừa kế thế vị là gì?</w:t>
      </w:r>
    </w:p>
    <w:p w:rsidR="00741754" w:rsidRPr="00A4668E" w:rsidRDefault="00741754" w:rsidP="00741754">
      <w:pPr>
        <w:spacing w:before="100" w:beforeAutospacing="1" w:after="100" w:afterAutospacing="1" w:line="240" w:lineRule="auto"/>
        <w:rPr>
          <w:rFonts w:eastAsia="Times New Roman" w:cs="Times New Roman"/>
          <w:szCs w:val="28"/>
        </w:rPr>
      </w:pPr>
      <w:r w:rsidRPr="00A4668E">
        <w:rPr>
          <w:rFonts w:eastAsia="Times New Roman" w:cs="Times New Roman"/>
          <w:szCs w:val="28"/>
        </w:rPr>
        <w:t xml:space="preserve">Theo Điều 652 </w:t>
      </w:r>
      <w:hyperlink r:id="rId6" w:tgtFrame="_blank" w:history="1">
        <w:r w:rsidRPr="00A4668E">
          <w:rPr>
            <w:rFonts w:eastAsia="Times New Roman" w:cs="Times New Roman"/>
            <w:color w:val="0000FF"/>
            <w:szCs w:val="28"/>
            <w:u w:val="single"/>
          </w:rPr>
          <w:t>Bộ luật Dân sự 2015</w:t>
        </w:r>
      </w:hyperlink>
      <w:r w:rsidRPr="00A4668E">
        <w:rPr>
          <w:rFonts w:eastAsia="Times New Roman" w:cs="Times New Roman"/>
          <w:szCs w:val="28"/>
        </w:rPr>
        <w:t xml:space="preserve"> , thừa kế thế vị được quy định như sau:</w:t>
      </w:r>
    </w:p>
    <w:p w:rsidR="00741754" w:rsidRPr="00A4668E" w:rsidRDefault="00741754" w:rsidP="00741754">
      <w:pPr>
        <w:spacing w:before="100" w:beforeAutospacing="1" w:after="100" w:afterAutospacing="1" w:line="240" w:lineRule="auto"/>
        <w:rPr>
          <w:rFonts w:eastAsia="Times New Roman" w:cs="Times New Roman"/>
          <w:szCs w:val="28"/>
        </w:rPr>
      </w:pPr>
      <w:r w:rsidRPr="00A4668E">
        <w:rPr>
          <w:rFonts w:eastAsia="Times New Roman" w:cs="Times New Roman"/>
          <w:szCs w:val="28"/>
        </w:rPr>
        <w:lastRenderedPageBreak/>
        <w:t>Trường hợp con của người để lại di sản chết trước hoặc cùng một thời điểm với người để lại di sản thì cháu được hưởng phần di sản mà cha hoặc mẹ của cháu được hưởng nếu còn sống; </w:t>
      </w:r>
    </w:p>
    <w:p w:rsidR="00741754" w:rsidRPr="00A4668E" w:rsidRDefault="00741754" w:rsidP="00741754">
      <w:pPr>
        <w:spacing w:before="100" w:beforeAutospacing="1" w:after="100" w:afterAutospacing="1" w:line="240" w:lineRule="auto"/>
        <w:rPr>
          <w:rFonts w:eastAsia="Times New Roman" w:cs="Times New Roman"/>
          <w:szCs w:val="28"/>
        </w:rPr>
      </w:pPr>
      <w:r w:rsidRPr="00A4668E">
        <w:rPr>
          <w:rFonts w:eastAsia="Times New Roman" w:cs="Times New Roman"/>
          <w:szCs w:val="28"/>
        </w:rPr>
        <w:t>Trường hợp nếu cháu cũng chết trước hoặc cùng một thời điểm với người để lại di sản thì chắt được hưởng phần di sản mà cha hoặc mẹ của chắt được hưởng nếu còn sống.</w:t>
      </w:r>
    </w:p>
    <w:p w:rsidR="00741754" w:rsidRPr="00A4668E" w:rsidRDefault="00741754" w:rsidP="00741754">
      <w:pPr>
        <w:spacing w:before="100" w:beforeAutospacing="1" w:after="100" w:afterAutospacing="1" w:line="240" w:lineRule="auto"/>
        <w:rPr>
          <w:rFonts w:eastAsia="Times New Roman" w:cs="Times New Roman"/>
          <w:szCs w:val="28"/>
        </w:rPr>
      </w:pPr>
      <w:r w:rsidRPr="00A4668E">
        <w:rPr>
          <w:rFonts w:eastAsia="Times New Roman" w:cs="Times New Roman"/>
          <w:b/>
          <w:bCs/>
          <w:i/>
          <w:iCs/>
          <w:szCs w:val="28"/>
        </w:rPr>
        <w:t>Như vậy, có thể hiểu thừa kế thế vị là việc người để lại di sản và con hoặc cháu (người được nhận di sản sau khi người để lại di sản chết) của người đó chết trước hoặc cùng lúc với người để lại di sản thì quyền thừa kế phần di sản đó sẽ được chuyển cho cháu hoặc chắt của người để lại di sản.</w:t>
      </w:r>
    </w:p>
    <w:p w:rsidR="00741754" w:rsidRPr="00A4668E" w:rsidRDefault="00741754" w:rsidP="009508BD">
      <w:pPr>
        <w:spacing w:before="100" w:beforeAutospacing="1" w:after="100" w:afterAutospacing="1" w:line="240" w:lineRule="auto"/>
        <w:rPr>
          <w:rFonts w:eastAsia="Times New Roman" w:cs="Times New Roman"/>
          <w:szCs w:val="28"/>
        </w:rPr>
      </w:pPr>
    </w:p>
    <w:p w:rsidR="00026133" w:rsidRPr="00A4668E" w:rsidRDefault="00026133">
      <w:pPr>
        <w:rPr>
          <w:szCs w:val="28"/>
        </w:rPr>
      </w:pPr>
    </w:p>
    <w:sectPr w:rsidR="00026133" w:rsidRPr="00A46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10A18"/>
    <w:multiLevelType w:val="multilevel"/>
    <w:tmpl w:val="C664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D"/>
    <w:rsid w:val="00026133"/>
    <w:rsid w:val="00741754"/>
    <w:rsid w:val="009508BD"/>
    <w:rsid w:val="00A4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175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8B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508BD"/>
    <w:rPr>
      <w:i/>
      <w:iCs/>
    </w:rPr>
  </w:style>
  <w:style w:type="character" w:styleId="Strong">
    <w:name w:val="Strong"/>
    <w:basedOn w:val="DefaultParagraphFont"/>
    <w:uiPriority w:val="22"/>
    <w:qFormat/>
    <w:rsid w:val="009508BD"/>
    <w:rPr>
      <w:b/>
      <w:bCs/>
    </w:rPr>
  </w:style>
  <w:style w:type="character" w:customStyle="1" w:styleId="Heading2Char">
    <w:name w:val="Heading 2 Char"/>
    <w:basedOn w:val="DefaultParagraphFont"/>
    <w:link w:val="Heading2"/>
    <w:uiPriority w:val="9"/>
    <w:rsid w:val="00741754"/>
    <w:rPr>
      <w:rFonts w:eastAsia="Times New Roman" w:cs="Times New Roman"/>
      <w:b/>
      <w:bCs/>
      <w:sz w:val="36"/>
      <w:szCs w:val="36"/>
    </w:rPr>
  </w:style>
  <w:style w:type="character" w:styleId="Hyperlink">
    <w:name w:val="Hyperlink"/>
    <w:basedOn w:val="DefaultParagraphFont"/>
    <w:uiPriority w:val="99"/>
    <w:semiHidden/>
    <w:unhideWhenUsed/>
    <w:rsid w:val="007417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175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8B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508BD"/>
    <w:rPr>
      <w:i/>
      <w:iCs/>
    </w:rPr>
  </w:style>
  <w:style w:type="character" w:styleId="Strong">
    <w:name w:val="Strong"/>
    <w:basedOn w:val="DefaultParagraphFont"/>
    <w:uiPriority w:val="22"/>
    <w:qFormat/>
    <w:rsid w:val="009508BD"/>
    <w:rPr>
      <w:b/>
      <w:bCs/>
    </w:rPr>
  </w:style>
  <w:style w:type="character" w:customStyle="1" w:styleId="Heading2Char">
    <w:name w:val="Heading 2 Char"/>
    <w:basedOn w:val="DefaultParagraphFont"/>
    <w:link w:val="Heading2"/>
    <w:uiPriority w:val="9"/>
    <w:rsid w:val="00741754"/>
    <w:rPr>
      <w:rFonts w:eastAsia="Times New Roman" w:cs="Times New Roman"/>
      <w:b/>
      <w:bCs/>
      <w:sz w:val="36"/>
      <w:szCs w:val="36"/>
    </w:rPr>
  </w:style>
  <w:style w:type="character" w:styleId="Hyperlink">
    <w:name w:val="Hyperlink"/>
    <w:basedOn w:val="DefaultParagraphFont"/>
    <w:uiPriority w:val="99"/>
    <w:semiHidden/>
    <w:unhideWhenUsed/>
    <w:rsid w:val="00741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49267">
      <w:bodyDiv w:val="1"/>
      <w:marLeft w:val="0"/>
      <w:marRight w:val="0"/>
      <w:marTop w:val="0"/>
      <w:marBottom w:val="0"/>
      <w:divBdr>
        <w:top w:val="none" w:sz="0" w:space="0" w:color="auto"/>
        <w:left w:val="none" w:sz="0" w:space="0" w:color="auto"/>
        <w:bottom w:val="none" w:sz="0" w:space="0" w:color="auto"/>
        <w:right w:val="none" w:sz="0" w:space="0" w:color="auto"/>
      </w:divBdr>
    </w:div>
    <w:div w:id="19580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Quyen-dan-su/Bo-luat-dan-su-2015-296215.aspx"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EC77E-BDF6-433D-A834-CCDD75A80D2A}"/>
</file>

<file path=customXml/itemProps2.xml><?xml version="1.0" encoding="utf-8"?>
<ds:datastoreItem xmlns:ds="http://schemas.openxmlformats.org/officeDocument/2006/customXml" ds:itemID="{150DC64E-C141-43C1-AD1B-05F7D4AD0168}"/>
</file>

<file path=customXml/itemProps3.xml><?xml version="1.0" encoding="utf-8"?>
<ds:datastoreItem xmlns:ds="http://schemas.openxmlformats.org/officeDocument/2006/customXml" ds:itemID="{F4C35D40-4520-4F4D-85FB-A63336FBB4F1}"/>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2022-06-27T01:26:00Z</cp:lastPrinted>
  <dcterms:created xsi:type="dcterms:W3CDTF">2022-06-27T01:26:00Z</dcterms:created>
  <dcterms:modified xsi:type="dcterms:W3CDTF">2024-05-31T03:31:00Z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